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453" w:rsidRDefault="007E66B2">
      <w:pPr>
        <w:rPr>
          <w:b/>
          <w:i/>
          <w:sz w:val="40"/>
          <w:szCs w:val="40"/>
        </w:rPr>
      </w:pPr>
      <w:r w:rsidRPr="007E66B2">
        <w:rPr>
          <w:b/>
          <w:i/>
          <w:sz w:val="40"/>
          <w:szCs w:val="40"/>
        </w:rPr>
        <w:t>Forms of historical communication</w:t>
      </w:r>
    </w:p>
    <w:p w:rsidR="00D45516" w:rsidRPr="006F061F" w:rsidRDefault="00D45516">
      <w:pPr>
        <w:rPr>
          <w:sz w:val="28"/>
          <w:szCs w:val="28"/>
        </w:rPr>
      </w:pPr>
      <w:r w:rsidRPr="006F061F">
        <w:rPr>
          <w:i/>
          <w:sz w:val="28"/>
          <w:szCs w:val="28"/>
        </w:rPr>
        <w:t xml:space="preserve">Each group will examine </w:t>
      </w:r>
      <w:r w:rsidR="006F061F">
        <w:rPr>
          <w:i/>
          <w:sz w:val="28"/>
          <w:szCs w:val="28"/>
        </w:rPr>
        <w:t>a</w:t>
      </w:r>
      <w:r w:rsidRPr="006F061F">
        <w:rPr>
          <w:i/>
          <w:sz w:val="28"/>
          <w:szCs w:val="28"/>
        </w:rPr>
        <w:t xml:space="preserve"> focus area through a number of readings. You must complete a CLA</w:t>
      </w:r>
      <w:r w:rsidR="006F061F" w:rsidRPr="006F061F">
        <w:rPr>
          <w:i/>
          <w:sz w:val="28"/>
          <w:szCs w:val="28"/>
        </w:rPr>
        <w:t>IM/SUPPORT/QUESTION for the mandatory</w:t>
      </w:r>
      <w:r w:rsidRPr="006F061F">
        <w:rPr>
          <w:i/>
          <w:sz w:val="28"/>
          <w:szCs w:val="28"/>
        </w:rPr>
        <w:t xml:space="preserve"> reading. After this the group is free to pick and choose from the supplementary readings provided on the </w:t>
      </w:r>
      <w:proofErr w:type="spellStart"/>
      <w:r w:rsidRPr="006F061F">
        <w:rPr>
          <w:i/>
          <w:sz w:val="28"/>
          <w:szCs w:val="28"/>
        </w:rPr>
        <w:t>Weebly</w:t>
      </w:r>
      <w:proofErr w:type="spellEnd"/>
      <w:r w:rsidRPr="006F061F">
        <w:rPr>
          <w:i/>
          <w:sz w:val="28"/>
          <w:szCs w:val="28"/>
        </w:rPr>
        <w:t xml:space="preserve"> (</w:t>
      </w:r>
      <w:hyperlink r:id="rId5" w:history="1">
        <w:r w:rsidRPr="006F061F">
          <w:rPr>
            <w:rStyle w:val="Hyperlink"/>
            <w:i/>
            <w:sz w:val="28"/>
            <w:szCs w:val="28"/>
          </w:rPr>
          <w:t>http://historyextension.weebly.com</w:t>
        </w:r>
      </w:hyperlink>
      <w:r w:rsidRPr="006F061F">
        <w:rPr>
          <w:i/>
          <w:sz w:val="28"/>
          <w:szCs w:val="28"/>
        </w:rPr>
        <w:t xml:space="preserve">) Complete the CONNECT/EXTEND/CHALLENGE to show how the supplementary readings contribute to your area of </w:t>
      </w:r>
      <w:proofErr w:type="spellStart"/>
      <w:r w:rsidRPr="006F061F">
        <w:rPr>
          <w:i/>
          <w:sz w:val="28"/>
          <w:szCs w:val="28"/>
        </w:rPr>
        <w:t>historiographical</w:t>
      </w:r>
      <w:proofErr w:type="spellEnd"/>
      <w:r w:rsidRPr="006F061F">
        <w:rPr>
          <w:i/>
          <w:sz w:val="28"/>
          <w:szCs w:val="28"/>
        </w:rPr>
        <w:t xml:space="preserve"> debate.</w:t>
      </w:r>
      <w:r w:rsidR="006F061F" w:rsidRPr="006F061F">
        <w:rPr>
          <w:i/>
          <w:sz w:val="28"/>
          <w:szCs w:val="28"/>
        </w:rPr>
        <w:t xml:space="preserve"> Phase two will be a chance to share your understanding with other groups. </w:t>
      </w:r>
      <w:r w:rsidR="006F061F">
        <w:rPr>
          <w:i/>
          <w:sz w:val="28"/>
          <w:szCs w:val="28"/>
        </w:rPr>
        <w:t xml:space="preserve">The other groups will be reading your CLAIM/SUPPORT/QUESTION and making connections based on their reading experience. </w:t>
      </w:r>
      <w:r w:rsidR="006F061F" w:rsidRPr="006F061F">
        <w:rPr>
          <w:i/>
          <w:sz w:val="28"/>
          <w:szCs w:val="28"/>
        </w:rPr>
        <w:t>It is hoped that these readings will elevate our discussion of historical examples i</w:t>
      </w:r>
      <w:r w:rsidR="006F061F">
        <w:rPr>
          <w:i/>
          <w:sz w:val="28"/>
          <w:szCs w:val="28"/>
        </w:rPr>
        <w:t xml:space="preserve">n your presentation to an </w:t>
      </w:r>
      <w:r w:rsidR="006F061F" w:rsidRPr="006F061F">
        <w:rPr>
          <w:i/>
          <w:sz w:val="28"/>
          <w:szCs w:val="28"/>
        </w:rPr>
        <w:t>academic level.</w:t>
      </w:r>
      <w:r w:rsidR="006F061F">
        <w:rPr>
          <w:i/>
          <w:sz w:val="28"/>
          <w:szCs w:val="28"/>
        </w:rPr>
        <w:t xml:space="preserve"> It will also help you begin to develop the synthesis skills necessary in this course.</w:t>
      </w:r>
    </w:p>
    <w:tbl>
      <w:tblPr>
        <w:tblStyle w:val="TableGrid"/>
        <w:tblW w:w="11165" w:type="dxa"/>
        <w:tblLook w:val="04A0"/>
      </w:tblPr>
      <w:tblGrid>
        <w:gridCol w:w="2394"/>
        <w:gridCol w:w="1967"/>
        <w:gridCol w:w="6804"/>
      </w:tblGrid>
      <w:tr w:rsidR="007E66B2" w:rsidTr="00AB5E36">
        <w:tc>
          <w:tcPr>
            <w:tcW w:w="2394" w:type="dxa"/>
          </w:tcPr>
          <w:p w:rsidR="007E66B2" w:rsidRDefault="007E66B2">
            <w:r>
              <w:t>Group members</w:t>
            </w:r>
          </w:p>
        </w:tc>
        <w:tc>
          <w:tcPr>
            <w:tcW w:w="1967" w:type="dxa"/>
          </w:tcPr>
          <w:p w:rsidR="007E66B2" w:rsidRDefault="007E66B2">
            <w:r>
              <w:t>Focus area</w:t>
            </w:r>
          </w:p>
        </w:tc>
        <w:tc>
          <w:tcPr>
            <w:tcW w:w="6804" w:type="dxa"/>
          </w:tcPr>
          <w:p w:rsidR="007E66B2" w:rsidRDefault="00D45516">
            <w:r>
              <w:t>Mandatory Reading</w:t>
            </w:r>
          </w:p>
        </w:tc>
      </w:tr>
      <w:tr w:rsidR="007E66B2" w:rsidTr="00AB5E36">
        <w:tc>
          <w:tcPr>
            <w:tcW w:w="2394" w:type="dxa"/>
          </w:tcPr>
          <w:p w:rsidR="007E66B2" w:rsidRDefault="00D45516">
            <w:r>
              <w:t>2</w:t>
            </w:r>
          </w:p>
        </w:tc>
        <w:tc>
          <w:tcPr>
            <w:tcW w:w="1967" w:type="dxa"/>
          </w:tcPr>
          <w:p w:rsidR="007E66B2" w:rsidRDefault="007E66B2">
            <w:r>
              <w:t>Narrative</w:t>
            </w:r>
          </w:p>
        </w:tc>
        <w:tc>
          <w:tcPr>
            <w:tcW w:w="6804" w:type="dxa"/>
          </w:tcPr>
          <w:p w:rsidR="00413B8D" w:rsidRDefault="00413B8D" w:rsidP="00D45516">
            <w:r>
              <w:t xml:space="preserve">Peter Burke, ‘History of events and the revival of narrative’ </w:t>
            </w:r>
            <w:r w:rsidRPr="00D45516">
              <w:rPr>
                <w:i/>
              </w:rPr>
              <w:t xml:space="preserve">New </w:t>
            </w:r>
            <w:proofErr w:type="spellStart"/>
            <w:r w:rsidRPr="00D45516">
              <w:rPr>
                <w:i/>
              </w:rPr>
              <w:t>Perpsectives</w:t>
            </w:r>
            <w:proofErr w:type="spellEnd"/>
            <w:r w:rsidRPr="00D45516">
              <w:rPr>
                <w:i/>
              </w:rPr>
              <w:t xml:space="preserve"> on Historical Writing</w:t>
            </w:r>
            <w:r>
              <w:t xml:space="preserve"> 1993</w:t>
            </w:r>
          </w:p>
        </w:tc>
      </w:tr>
      <w:tr w:rsidR="007E66B2" w:rsidTr="00AB5E36">
        <w:tc>
          <w:tcPr>
            <w:tcW w:w="2394" w:type="dxa"/>
          </w:tcPr>
          <w:p w:rsidR="007E66B2" w:rsidRDefault="00D45516">
            <w:r>
              <w:t>2</w:t>
            </w:r>
          </w:p>
        </w:tc>
        <w:tc>
          <w:tcPr>
            <w:tcW w:w="1967" w:type="dxa"/>
          </w:tcPr>
          <w:p w:rsidR="007E66B2" w:rsidRDefault="007E66B2">
            <w:r>
              <w:t>Academic v Popular History</w:t>
            </w:r>
          </w:p>
        </w:tc>
        <w:tc>
          <w:tcPr>
            <w:tcW w:w="6804" w:type="dxa"/>
          </w:tcPr>
          <w:p w:rsidR="007E66B2" w:rsidRDefault="00AB5E36" w:rsidP="00D45516">
            <w:r>
              <w:t xml:space="preserve">Ann </w:t>
            </w:r>
            <w:proofErr w:type="spellStart"/>
            <w:r>
              <w:t>Curthoys</w:t>
            </w:r>
            <w:proofErr w:type="spellEnd"/>
            <w:r>
              <w:t xml:space="preserve">, ‘Crossing Over: academic and popular history’ </w:t>
            </w:r>
            <w:r w:rsidRPr="00D45516">
              <w:rPr>
                <w:i/>
              </w:rPr>
              <w:t>Australian Journal of Popular Culture</w:t>
            </w:r>
            <w:r>
              <w:t xml:space="preserve"> 1.12012</w:t>
            </w:r>
          </w:p>
        </w:tc>
      </w:tr>
      <w:tr w:rsidR="007E66B2" w:rsidTr="00AB5E36">
        <w:tc>
          <w:tcPr>
            <w:tcW w:w="2394" w:type="dxa"/>
          </w:tcPr>
          <w:p w:rsidR="007E66B2" w:rsidRDefault="00D45516">
            <w:r>
              <w:t>3</w:t>
            </w:r>
          </w:p>
        </w:tc>
        <w:tc>
          <w:tcPr>
            <w:tcW w:w="1967" w:type="dxa"/>
          </w:tcPr>
          <w:p w:rsidR="007E66B2" w:rsidRDefault="007E66B2">
            <w:r>
              <w:t>History and fiction</w:t>
            </w:r>
          </w:p>
        </w:tc>
        <w:tc>
          <w:tcPr>
            <w:tcW w:w="6804" w:type="dxa"/>
          </w:tcPr>
          <w:p w:rsidR="00413B8D" w:rsidRDefault="00AE07FC" w:rsidP="00D45516">
            <w:r>
              <w:t xml:space="preserve">Hsu-Ming </w:t>
            </w:r>
            <w:proofErr w:type="spellStart"/>
            <w:r>
              <w:t>Teo</w:t>
            </w:r>
            <w:proofErr w:type="spellEnd"/>
            <w:r>
              <w:t xml:space="preserve">, ‘Historical fiction and fictions of history’ </w:t>
            </w:r>
            <w:r w:rsidRPr="00D45516">
              <w:rPr>
                <w:i/>
              </w:rPr>
              <w:t>Rethinking History</w:t>
            </w:r>
          </w:p>
        </w:tc>
      </w:tr>
      <w:tr w:rsidR="007E66B2" w:rsidTr="00AB5E36">
        <w:tc>
          <w:tcPr>
            <w:tcW w:w="2394" w:type="dxa"/>
          </w:tcPr>
          <w:p w:rsidR="007E66B2" w:rsidRDefault="00D45516">
            <w:r>
              <w:t>2</w:t>
            </w:r>
          </w:p>
        </w:tc>
        <w:tc>
          <w:tcPr>
            <w:tcW w:w="1967" w:type="dxa"/>
          </w:tcPr>
          <w:p w:rsidR="007E66B2" w:rsidRDefault="007E66B2">
            <w:r>
              <w:t>Biography and autobiography</w:t>
            </w:r>
          </w:p>
        </w:tc>
        <w:tc>
          <w:tcPr>
            <w:tcW w:w="6804" w:type="dxa"/>
          </w:tcPr>
          <w:p w:rsidR="007E66B2" w:rsidRDefault="007E66B2" w:rsidP="00D45516">
            <w:r>
              <w:t xml:space="preserve">Barbara </w:t>
            </w:r>
            <w:proofErr w:type="spellStart"/>
            <w:r>
              <w:t>Caine</w:t>
            </w:r>
            <w:proofErr w:type="spellEnd"/>
            <w:r w:rsidR="00780B1E">
              <w:t>, ‘Biography and History’</w:t>
            </w:r>
          </w:p>
        </w:tc>
      </w:tr>
      <w:tr w:rsidR="007E66B2" w:rsidTr="00AB5E36">
        <w:tc>
          <w:tcPr>
            <w:tcW w:w="2394" w:type="dxa"/>
          </w:tcPr>
          <w:p w:rsidR="007E66B2" w:rsidRDefault="00D45516">
            <w:r>
              <w:t>2</w:t>
            </w:r>
          </w:p>
        </w:tc>
        <w:tc>
          <w:tcPr>
            <w:tcW w:w="1967" w:type="dxa"/>
          </w:tcPr>
          <w:p w:rsidR="007E66B2" w:rsidRDefault="007E66B2">
            <w:r>
              <w:t>Oral history</w:t>
            </w:r>
          </w:p>
        </w:tc>
        <w:tc>
          <w:tcPr>
            <w:tcW w:w="6804" w:type="dxa"/>
          </w:tcPr>
          <w:p w:rsidR="00AE07FC" w:rsidRDefault="00AE07FC" w:rsidP="00D45516">
            <w:r>
              <w:t xml:space="preserve">Green and Troup, ‘Oral History’ </w:t>
            </w:r>
            <w:r w:rsidRPr="00D45516">
              <w:rPr>
                <w:i/>
              </w:rPr>
              <w:t>Houses of History</w:t>
            </w:r>
          </w:p>
        </w:tc>
      </w:tr>
      <w:tr w:rsidR="007E66B2" w:rsidTr="00AB5E36">
        <w:tc>
          <w:tcPr>
            <w:tcW w:w="2394" w:type="dxa"/>
          </w:tcPr>
          <w:p w:rsidR="007E66B2" w:rsidRDefault="00D45516">
            <w:r>
              <w:t>3</w:t>
            </w:r>
          </w:p>
        </w:tc>
        <w:tc>
          <w:tcPr>
            <w:tcW w:w="1967" w:type="dxa"/>
          </w:tcPr>
          <w:p w:rsidR="007E66B2" w:rsidRDefault="007E66B2">
            <w:r>
              <w:t>TV and film history</w:t>
            </w:r>
          </w:p>
        </w:tc>
        <w:tc>
          <w:tcPr>
            <w:tcW w:w="6804" w:type="dxa"/>
          </w:tcPr>
          <w:p w:rsidR="00413B8D" w:rsidRDefault="00B71093" w:rsidP="00D45516">
            <w:r>
              <w:t xml:space="preserve">Paul Ashton and Paula Hamilton, “Mediating Memory: History on Television” </w:t>
            </w:r>
            <w:r w:rsidRPr="00D45516">
              <w:rPr>
                <w:i/>
              </w:rPr>
              <w:t>History at the Crossroads: Australians and the Past</w:t>
            </w:r>
            <w:r>
              <w:t xml:space="preserve"> 2010.</w:t>
            </w:r>
          </w:p>
        </w:tc>
      </w:tr>
      <w:tr w:rsidR="007E66B2" w:rsidTr="00AB5E36">
        <w:tc>
          <w:tcPr>
            <w:tcW w:w="2394" w:type="dxa"/>
          </w:tcPr>
          <w:p w:rsidR="007E66B2" w:rsidRDefault="00D45516">
            <w:r>
              <w:t>2</w:t>
            </w:r>
          </w:p>
        </w:tc>
        <w:tc>
          <w:tcPr>
            <w:tcW w:w="1967" w:type="dxa"/>
          </w:tcPr>
          <w:p w:rsidR="007E66B2" w:rsidRDefault="007E66B2">
            <w:r>
              <w:t>Radio history</w:t>
            </w:r>
          </w:p>
        </w:tc>
        <w:tc>
          <w:tcPr>
            <w:tcW w:w="6804" w:type="dxa"/>
          </w:tcPr>
          <w:p w:rsidR="007E66B2" w:rsidRDefault="009F0E9A" w:rsidP="00D45516">
            <w:r>
              <w:t>Tim Bowden, ‘</w:t>
            </w:r>
            <w:r w:rsidR="00B71093">
              <w:t>You Don’t Always have to Interview the Nearly Dead’: Recollections of the ABC’s social history unit</w:t>
            </w:r>
          </w:p>
        </w:tc>
      </w:tr>
      <w:tr w:rsidR="007E66B2" w:rsidTr="00AB5E36">
        <w:tc>
          <w:tcPr>
            <w:tcW w:w="2394" w:type="dxa"/>
          </w:tcPr>
          <w:p w:rsidR="007E66B2" w:rsidRDefault="00D45516">
            <w:r>
              <w:t>2</w:t>
            </w:r>
          </w:p>
        </w:tc>
        <w:tc>
          <w:tcPr>
            <w:tcW w:w="1967" w:type="dxa"/>
          </w:tcPr>
          <w:p w:rsidR="007E66B2" w:rsidRDefault="007E66B2">
            <w:r>
              <w:t>Gaming</w:t>
            </w:r>
          </w:p>
        </w:tc>
        <w:tc>
          <w:tcPr>
            <w:tcW w:w="6804" w:type="dxa"/>
          </w:tcPr>
          <w:p w:rsidR="007E66B2" w:rsidRPr="00D45516" w:rsidRDefault="00D45516" w:rsidP="00D45516">
            <w:pPr>
              <w:autoSpaceDE w:val="0"/>
              <w:autoSpaceDN w:val="0"/>
              <w:adjustRightInd w:val="0"/>
              <w:rPr>
                <w:rFonts w:cs="AdvP10087D"/>
                <w:lang w:val="en-US"/>
              </w:rPr>
            </w:pPr>
            <w:r w:rsidRPr="00D45516">
              <w:rPr>
                <w:rFonts w:cs="AdvP10087D"/>
                <w:lang w:val="en-US"/>
              </w:rPr>
              <w:t xml:space="preserve">Brian </w:t>
            </w:r>
            <w:proofErr w:type="spellStart"/>
            <w:r w:rsidRPr="00D45516">
              <w:rPr>
                <w:rFonts w:cs="AdvP10087D"/>
                <w:lang w:val="en-US"/>
              </w:rPr>
              <w:t>Rejack</w:t>
            </w:r>
            <w:proofErr w:type="spellEnd"/>
            <w:r w:rsidRPr="00D45516">
              <w:rPr>
                <w:rFonts w:cs="AdvP10087D"/>
                <w:lang w:val="en-US"/>
              </w:rPr>
              <w:t xml:space="preserve"> ‘Toward a Virtual Reenactment</w:t>
            </w:r>
            <w:r>
              <w:rPr>
                <w:rFonts w:cs="AdvP10087D"/>
                <w:lang w:val="en-US"/>
              </w:rPr>
              <w:t xml:space="preserve"> of History: Video Games </w:t>
            </w:r>
            <w:r w:rsidRPr="00D45516">
              <w:rPr>
                <w:rFonts w:cs="AdvP10087D"/>
                <w:lang w:val="en-US"/>
              </w:rPr>
              <w:t xml:space="preserve">and the Recreation of the Past’ </w:t>
            </w:r>
            <w:r w:rsidRPr="00D45516">
              <w:rPr>
                <w:rFonts w:cs="AdvP10087D"/>
                <w:i/>
                <w:lang w:val="en-US"/>
              </w:rPr>
              <w:t xml:space="preserve">Rethinking History </w:t>
            </w:r>
            <w:r w:rsidRPr="00D45516">
              <w:rPr>
                <w:rFonts w:cs="AdvP10087D"/>
                <w:lang w:val="en-US"/>
              </w:rPr>
              <w:t xml:space="preserve">11.3 </w:t>
            </w:r>
            <w:r>
              <w:rPr>
                <w:rFonts w:cs="AdvP10087D"/>
                <w:lang w:val="en-US"/>
              </w:rPr>
              <w:t>(</w:t>
            </w:r>
            <w:r w:rsidRPr="00D45516">
              <w:rPr>
                <w:rFonts w:cs="AdvP10087D"/>
                <w:lang w:val="en-US"/>
              </w:rPr>
              <w:t>2007</w:t>
            </w:r>
            <w:r>
              <w:rPr>
                <w:rFonts w:cs="AdvP10087D"/>
                <w:lang w:val="en-US"/>
              </w:rPr>
              <w:t>)</w:t>
            </w:r>
          </w:p>
        </w:tc>
      </w:tr>
      <w:tr w:rsidR="007E66B2" w:rsidTr="00AB5E36">
        <w:tc>
          <w:tcPr>
            <w:tcW w:w="2394" w:type="dxa"/>
          </w:tcPr>
          <w:p w:rsidR="007E66B2" w:rsidRDefault="00D45516">
            <w:r>
              <w:t>2</w:t>
            </w:r>
          </w:p>
        </w:tc>
        <w:tc>
          <w:tcPr>
            <w:tcW w:w="1967" w:type="dxa"/>
          </w:tcPr>
          <w:p w:rsidR="007E66B2" w:rsidRDefault="007E66B2">
            <w:r>
              <w:t>Digital history</w:t>
            </w:r>
          </w:p>
        </w:tc>
        <w:tc>
          <w:tcPr>
            <w:tcW w:w="6804" w:type="dxa"/>
          </w:tcPr>
          <w:p w:rsidR="007E66B2" w:rsidRPr="009F0E9A" w:rsidRDefault="009F0E9A" w:rsidP="00D45516">
            <w:r>
              <w:t xml:space="preserve">Lisa Murray, ‘Community Connections – the local renaissance of local history’ </w:t>
            </w:r>
            <w:r w:rsidRPr="00D45516">
              <w:rPr>
                <w:i/>
              </w:rPr>
              <w:t xml:space="preserve">Australian Historical Association, </w:t>
            </w:r>
            <w:r>
              <w:t>2012</w:t>
            </w:r>
          </w:p>
        </w:tc>
      </w:tr>
    </w:tbl>
    <w:p w:rsidR="007E66B2" w:rsidRDefault="007E66B2"/>
    <w:sectPr w:rsidR="007E66B2" w:rsidSect="007E66B2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dvP10087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3527D"/>
    <w:multiLevelType w:val="hybridMultilevel"/>
    <w:tmpl w:val="A48E77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BE5E52"/>
    <w:multiLevelType w:val="hybridMultilevel"/>
    <w:tmpl w:val="6DDE73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3874B2"/>
    <w:multiLevelType w:val="hybridMultilevel"/>
    <w:tmpl w:val="5EC661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A15728"/>
    <w:multiLevelType w:val="hybridMultilevel"/>
    <w:tmpl w:val="B57E2E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DE7510"/>
    <w:multiLevelType w:val="hybridMultilevel"/>
    <w:tmpl w:val="CFAC85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9B095A"/>
    <w:multiLevelType w:val="hybridMultilevel"/>
    <w:tmpl w:val="F46C5E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E657722"/>
    <w:multiLevelType w:val="hybridMultilevel"/>
    <w:tmpl w:val="39A017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05B1390"/>
    <w:multiLevelType w:val="hybridMultilevel"/>
    <w:tmpl w:val="5B66C5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E66B2"/>
    <w:rsid w:val="000E45AD"/>
    <w:rsid w:val="0022607C"/>
    <w:rsid w:val="0035120F"/>
    <w:rsid w:val="00413B8D"/>
    <w:rsid w:val="004743E1"/>
    <w:rsid w:val="006D5B7D"/>
    <w:rsid w:val="006F061F"/>
    <w:rsid w:val="00780B1E"/>
    <w:rsid w:val="007E66B2"/>
    <w:rsid w:val="00845453"/>
    <w:rsid w:val="009F0E9A"/>
    <w:rsid w:val="00AB5E36"/>
    <w:rsid w:val="00AE07FC"/>
    <w:rsid w:val="00B71093"/>
    <w:rsid w:val="00D45516"/>
    <w:rsid w:val="00DE7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453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6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0E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55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historyextension.weebl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sladmin</dc:creator>
  <cp:keywords/>
  <dc:description/>
  <cp:lastModifiedBy>sladmin</cp:lastModifiedBy>
  <cp:revision>4</cp:revision>
  <dcterms:created xsi:type="dcterms:W3CDTF">2013-11-04T03:47:00Z</dcterms:created>
  <dcterms:modified xsi:type="dcterms:W3CDTF">2013-11-05T01:20:00Z</dcterms:modified>
</cp:coreProperties>
</file>